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315" w:rsidRPr="006F2315" w:rsidRDefault="006F2315" w:rsidP="006F2315">
      <w:pPr>
        <w:spacing w:after="200" w:line="276" w:lineRule="auto"/>
        <w:jc w:val="both"/>
        <w:rPr>
          <w:rFonts w:ascii="Calibri" w:eastAsia="Calibri" w:hAnsi="Calibri" w:cs="Arial"/>
          <w:b/>
          <w:bCs/>
          <w:color w:val="auto"/>
          <w:sz w:val="32"/>
          <w:szCs w:val="32"/>
          <w:lang w:val="en-US"/>
        </w:rPr>
      </w:pPr>
      <w:r w:rsidRPr="006F2315">
        <w:rPr>
          <w:rFonts w:ascii="Calibri" w:eastAsia="Calibri" w:hAnsi="Calibri" w:cs="Arial"/>
          <w:b/>
          <w:bCs/>
          <w:color w:val="auto"/>
          <w:sz w:val="32"/>
          <w:szCs w:val="32"/>
          <w:lang w:val="en-US"/>
        </w:rPr>
        <w:t>GOAL 7</w:t>
      </w:r>
    </w:p>
    <w:p w:rsidR="006F2315" w:rsidRPr="006F2315" w:rsidRDefault="006F2315" w:rsidP="006F2315">
      <w:pPr>
        <w:spacing w:after="200" w:line="276" w:lineRule="auto"/>
        <w:rPr>
          <w:rFonts w:ascii="Calibri" w:eastAsia="Calibri" w:hAnsi="Calibri" w:cs="Arial"/>
          <w:color w:val="auto"/>
          <w:sz w:val="22"/>
          <w:szCs w:val="22"/>
          <w:lang w:val="en-US"/>
        </w:rPr>
      </w:pPr>
      <w:r w:rsidRPr="006F2315">
        <w:rPr>
          <w:rFonts w:ascii="Calibri" w:eastAsia="Calibri" w:hAnsi="Calibri" w:cs="Arial"/>
          <w:noProof/>
          <w:color w:val="auto"/>
          <w:sz w:val="22"/>
          <w:szCs w:val="22"/>
          <w:lang w:eastAsia="en-GB"/>
        </w:rPr>
        <w:drawing>
          <wp:inline distT="0" distB="0" distL="0" distR="0" wp14:anchorId="280BA3F4" wp14:editId="619D8AED">
            <wp:extent cx="8892540" cy="544511"/>
            <wp:effectExtent l="0" t="0" r="3810" b="8255"/>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6F2315" w:rsidRPr="006F2315" w:rsidRDefault="006F2315" w:rsidP="006F2315">
      <w:pPr>
        <w:spacing w:after="200" w:line="276" w:lineRule="auto"/>
        <w:jc w:val="both"/>
        <w:rPr>
          <w:rFonts w:ascii="Calibri" w:eastAsia="Calibri" w:hAnsi="Calibri" w:cs="Arial"/>
          <w:color w:val="auto"/>
          <w:sz w:val="22"/>
          <w:szCs w:val="22"/>
        </w:rPr>
      </w:pPr>
      <w:r w:rsidRPr="006F2315">
        <w:rPr>
          <w:rFonts w:ascii="Calibri" w:eastAsia="Calibri" w:hAnsi="Calibri" w:cs="Arial"/>
          <w:color w:val="auto"/>
          <w:sz w:val="22"/>
          <w:szCs w:val="22"/>
        </w:rPr>
        <w:t>Postal operators very often operate with the biggest fleet of vehicles at country level and run a large network of buildings and facilities. In this field the main objectives of the UPU is to provide technical assistance to the postal operators for the measurement and reduction of the greenhouse gas emissions related to their activities.</w:t>
      </w:r>
      <w:r w:rsidRPr="006F2315">
        <w:rPr>
          <w:rFonts w:ascii="Arial" w:eastAsia="Times New Roman" w:hAnsi="Arial"/>
          <w:color w:val="auto"/>
          <w:sz w:val="20"/>
          <w:szCs w:val="20"/>
          <w:lang w:eastAsia="fr-CH"/>
        </w:rPr>
        <w:t xml:space="preserve"> </w:t>
      </w:r>
      <w:r w:rsidRPr="006F2315">
        <w:rPr>
          <w:rFonts w:ascii="Calibri" w:eastAsia="Calibri" w:hAnsi="Calibri" w:cs="Arial"/>
          <w:color w:val="auto"/>
          <w:sz w:val="22"/>
          <w:szCs w:val="22"/>
        </w:rPr>
        <w:t>The UPU measures the Carbon footprint of the postal operators of its 192 member countries. The 5</w:t>
      </w:r>
      <w:r w:rsidRPr="006F2315">
        <w:rPr>
          <w:rFonts w:ascii="Calibri" w:eastAsia="Calibri" w:hAnsi="Calibri" w:cs="Arial"/>
          <w:color w:val="auto"/>
          <w:sz w:val="22"/>
          <w:szCs w:val="22"/>
          <w:vertAlign w:val="superscript"/>
        </w:rPr>
        <w:t>th</w:t>
      </w:r>
      <w:r w:rsidRPr="006F2315">
        <w:rPr>
          <w:rFonts w:ascii="Calibri" w:eastAsia="Calibri" w:hAnsi="Calibri" w:cs="Arial"/>
          <w:color w:val="auto"/>
          <w:sz w:val="22"/>
          <w:szCs w:val="22"/>
        </w:rPr>
        <w:t xml:space="preserve"> Global GHG inventory was issued in April 2015 with a result of approx. 62 million</w:t>
      </w:r>
      <w:r w:rsidRPr="006F2315">
        <w:rPr>
          <w:rFonts w:ascii="Calibri" w:eastAsia="Calibri" w:hAnsi="Calibri" w:cs="Arial"/>
          <w:color w:val="auto"/>
          <w:sz w:val="22"/>
          <w:szCs w:val="22"/>
          <w:lang w:val="en"/>
        </w:rPr>
        <w:t xml:space="preserve"> tCO</w:t>
      </w:r>
      <w:r w:rsidRPr="006F2315">
        <w:rPr>
          <w:rFonts w:ascii="Calibri" w:eastAsia="Calibri" w:hAnsi="Calibri" w:cs="Arial"/>
          <w:color w:val="auto"/>
          <w:sz w:val="22"/>
          <w:szCs w:val="22"/>
          <w:vertAlign w:val="subscript"/>
          <w:lang w:val="en"/>
        </w:rPr>
        <w:t>2</w:t>
      </w:r>
      <w:r w:rsidRPr="006F2315">
        <w:rPr>
          <w:rFonts w:ascii="Calibri" w:eastAsia="Calibri" w:hAnsi="Calibri" w:cs="Arial"/>
          <w:color w:val="auto"/>
          <w:sz w:val="22"/>
          <w:szCs w:val="22"/>
          <w:lang w:val="en"/>
        </w:rPr>
        <w:t>e</w:t>
      </w:r>
      <w:r w:rsidRPr="006F2315">
        <w:rPr>
          <w:rFonts w:ascii="Calibri" w:eastAsia="Calibri" w:hAnsi="Calibri" w:cs="Arial"/>
          <w:color w:val="auto"/>
          <w:sz w:val="22"/>
          <w:szCs w:val="22"/>
        </w:rPr>
        <w:t xml:space="preserve"> with 81% of this total coming from transports’ sources.  This inventory is conducted according to the international standards and was designed in cooperation with UNEP. The UPU also works with ICAO in order to better include postal air cargo into its calculation.  A global report is produced every year and each member country receives its own specific results. The UPU also produces detailed individual reports on demand with a number of proposals regarding possible reduction measures. More than 130 member countries on average participate in the annual GHG inventory. </w:t>
      </w:r>
    </w:p>
    <w:p w:rsidR="006F2315" w:rsidRPr="006F2315" w:rsidRDefault="006F2315" w:rsidP="006F2315">
      <w:pPr>
        <w:spacing w:after="200" w:line="276" w:lineRule="auto"/>
        <w:jc w:val="both"/>
        <w:rPr>
          <w:rFonts w:ascii="Calibri" w:eastAsia="Calibri" w:hAnsi="Calibri" w:cs="Arial"/>
          <w:b/>
          <w:bCs/>
          <w:i/>
          <w:iCs/>
          <w:color w:val="auto"/>
          <w:sz w:val="22"/>
          <w:szCs w:val="22"/>
        </w:rPr>
      </w:pPr>
      <w:r w:rsidRPr="006F2315">
        <w:rPr>
          <w:rFonts w:ascii="Calibri" w:eastAsia="Calibri" w:hAnsi="Calibri" w:cs="Arial"/>
          <w:b/>
          <w:bCs/>
          <w:i/>
          <w:iCs/>
          <w:color w:val="auto"/>
          <w:sz w:val="22"/>
          <w:szCs w:val="22"/>
        </w:rPr>
        <w:t>Enriching indicator 7.3.2 with complementary data sources</w:t>
      </w:r>
    </w:p>
    <w:p w:rsidR="006F2315" w:rsidRPr="006F2315" w:rsidRDefault="006F2315" w:rsidP="006F2315">
      <w:pPr>
        <w:spacing w:after="200" w:line="276" w:lineRule="auto"/>
        <w:jc w:val="both"/>
        <w:rPr>
          <w:rFonts w:ascii="Calibri" w:eastAsia="Calibri" w:hAnsi="Calibri" w:cs="Arial"/>
          <w:color w:val="auto"/>
          <w:sz w:val="22"/>
          <w:szCs w:val="22"/>
        </w:rPr>
      </w:pPr>
      <w:r w:rsidRPr="006F2315">
        <w:rPr>
          <w:rFonts w:ascii="Calibri" w:eastAsia="Calibri" w:hAnsi="Calibri" w:cs="Arial"/>
          <w:color w:val="auto"/>
          <w:sz w:val="22"/>
          <w:szCs w:val="22"/>
        </w:rPr>
        <w:t xml:space="preserve">The data collected by the UPU cover direct GHG emissions (scope1) as well as indirect emissions (scope 2 and 3). They provide with a very good picture on sources, types of emission and DC/IC carbon footprint share.  </w:t>
      </w:r>
    </w:p>
    <w:p w:rsidR="0035634B" w:rsidRPr="006F2315" w:rsidRDefault="0035634B" w:rsidP="006F2315">
      <w:pPr>
        <w:spacing w:after="200" w:line="276" w:lineRule="auto"/>
        <w:rPr>
          <w:rFonts w:ascii="Calibri" w:eastAsia="Calibri" w:hAnsi="Calibri" w:cs="Arial"/>
          <w:color w:val="auto"/>
          <w:sz w:val="22"/>
          <w:szCs w:val="22"/>
        </w:rPr>
      </w:pPr>
      <w:bookmarkStart w:id="0" w:name="_GoBack"/>
      <w:bookmarkEnd w:id="0"/>
    </w:p>
    <w:sectPr w:rsidR="0035634B" w:rsidRPr="006F2315" w:rsidSect="006F2315">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15"/>
    <w:rsid w:val="0035634B"/>
    <w:rsid w:val="00374D74"/>
    <w:rsid w:val="006F2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6F2315"/>
    <w:rPr>
      <w:rFonts w:ascii="Tahoma" w:hAnsi="Tahoma" w:cs="Tahoma"/>
      <w:sz w:val="16"/>
      <w:szCs w:val="16"/>
    </w:rPr>
  </w:style>
  <w:style w:type="character" w:customStyle="1" w:styleId="BalloonTextChar">
    <w:name w:val="Balloon Text Char"/>
    <w:basedOn w:val="DefaultParagraphFont"/>
    <w:link w:val="BalloonText"/>
    <w:uiPriority w:val="99"/>
    <w:semiHidden/>
    <w:rsid w:val="006F23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6F2315"/>
    <w:rPr>
      <w:rFonts w:ascii="Tahoma" w:hAnsi="Tahoma" w:cs="Tahoma"/>
      <w:sz w:val="16"/>
      <w:szCs w:val="16"/>
    </w:rPr>
  </w:style>
  <w:style w:type="character" w:customStyle="1" w:styleId="BalloonTextChar">
    <w:name w:val="Balloon Text Char"/>
    <w:basedOn w:val="DefaultParagraphFont"/>
    <w:link w:val="BalloonText"/>
    <w:uiPriority w:val="99"/>
    <w:semiHidden/>
    <w:rsid w:val="006F23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2015-05-19T19:45:00Z</dcterms:created>
  <dcterms:modified xsi:type="dcterms:W3CDTF">2015-05-19T19:45:00Z</dcterms:modified>
</cp:coreProperties>
</file>